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ind w:left="155" w:right="0"/>
        <w:jc w:val="left"/>
      </w:pPr>
      <w:r>
        <w:rPr>
          <w:u w:val="single"/>
        </w:rPr>
        <w:t>2310700000</w:t>
      </w:r>
    </w:p>
    <w:p>
      <w:pPr>
        <w:pStyle w:val="BodyText"/>
        <w:spacing w:before="21"/>
        <w:ind w:left="151"/>
      </w:pPr>
      <w:r>
        <w:rPr>
          <w:spacing w:val="-1"/>
        </w:rPr>
        <w:t>(код</w:t>
      </w:r>
      <w:r>
        <w:rPr>
          <w:spacing w:val="-5"/>
        </w:rPr>
        <w:t> </w:t>
      </w:r>
      <w:r>
        <w:rPr>
          <w:spacing w:val="-1"/>
        </w:rPr>
        <w:t>бюджету)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</w:pPr>
      <w:r>
        <w:rPr/>
        <w:t>ФІНАНСУВАННЯ</w:t>
      </w:r>
    </w:p>
    <w:p>
      <w:pPr>
        <w:spacing w:before="31"/>
        <w:ind w:left="140" w:right="29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2020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рік</w:t>
      </w:r>
    </w:p>
    <w:p>
      <w:pPr>
        <w:pStyle w:val="BodyText"/>
        <w:spacing w:line="167" w:lineRule="exact" w:before="78"/>
        <w:ind w:left="151"/>
      </w:pPr>
      <w:r>
        <w:rPr/>
        <w:br w:type="column"/>
      </w:r>
      <w:r>
        <w:rPr>
          <w:spacing w:val="-1"/>
        </w:rPr>
        <w:t>Додаток</w:t>
      </w:r>
      <w:r>
        <w:rPr>
          <w:spacing w:val="-3"/>
        </w:rPr>
        <w:t> </w:t>
      </w:r>
      <w:r>
        <w:rPr/>
        <w:t>2</w:t>
      </w:r>
    </w:p>
    <w:p>
      <w:pPr>
        <w:tabs>
          <w:tab w:pos="817" w:val="left" w:leader="none"/>
          <w:tab w:pos="1117" w:val="left" w:leader="none"/>
          <w:tab w:pos="2245" w:val="left" w:leader="none"/>
          <w:tab w:pos="2710" w:val="left" w:leader="none"/>
        </w:tabs>
        <w:spacing w:line="276" w:lineRule="auto" w:before="0"/>
        <w:ind w:left="151" w:right="168" w:firstLine="0"/>
        <w:jc w:val="left"/>
        <w:rPr>
          <w:sz w:val="12"/>
        </w:rPr>
      </w:pPr>
      <w:r>
        <w:rPr>
          <w:w w:val="105"/>
          <w:sz w:val="12"/>
        </w:rPr>
        <w:t>до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рішення</w:t>
      </w:r>
      <w:r>
        <w:rPr>
          <w:w w:val="105"/>
          <w:sz w:val="12"/>
          <w:u w:val="single"/>
        </w:rPr>
        <w:tab/>
        <w:tab/>
      </w:r>
      <w:r>
        <w:rPr>
          <w:spacing w:val="-1"/>
          <w:w w:val="105"/>
          <w:sz w:val="12"/>
        </w:rPr>
        <w:t>сесії</w:t>
      </w:r>
      <w:r>
        <w:rPr>
          <w:w w:val="105"/>
          <w:sz w:val="12"/>
        </w:rPr>
        <w:t> </w:t>
      </w:r>
      <w:r>
        <w:rPr>
          <w:spacing w:val="-1"/>
          <w:w w:val="105"/>
          <w:sz w:val="12"/>
        </w:rPr>
        <w:t>Мелітопольської міської ради </w:t>
      </w:r>
      <w:r>
        <w:rPr>
          <w:w w:val="105"/>
          <w:sz w:val="12"/>
        </w:rPr>
        <w:t>Запорізької</w:t>
      </w:r>
      <w:r>
        <w:rPr>
          <w:spacing w:val="-29"/>
          <w:w w:val="105"/>
          <w:sz w:val="12"/>
        </w:rPr>
        <w:t> </w:t>
      </w:r>
      <w:r>
        <w:rPr>
          <w:w w:val="105"/>
          <w:sz w:val="12"/>
        </w:rPr>
        <w:t>області</w:t>
      </w:r>
      <w:r>
        <w:rPr>
          <w:w w:val="105"/>
          <w:sz w:val="12"/>
          <w:u w:val="single"/>
        </w:rPr>
        <w:tab/>
      </w:r>
      <w:r>
        <w:rPr>
          <w:w w:val="105"/>
          <w:sz w:val="12"/>
        </w:rPr>
        <w:t>скликання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від</w:t>
      </w:r>
      <w:r>
        <w:rPr>
          <w:w w:val="105"/>
          <w:sz w:val="12"/>
          <w:u w:val="single"/>
        </w:rPr>
        <w:tab/>
      </w:r>
      <w:r>
        <w:rPr>
          <w:w w:val="105"/>
          <w:sz w:val="12"/>
        </w:rPr>
        <w:t>№</w:t>
      </w:r>
      <w:r>
        <w:rPr>
          <w:w w:val="105"/>
          <w:sz w:val="12"/>
          <w:u w:val="single"/>
        </w:rPr>
        <w:t> </w:t>
      </w:r>
      <w:r>
        <w:rPr>
          <w:sz w:val="12"/>
          <w:u w:val="single"/>
        </w:rPr>
        <w:tab/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23"/>
        <w:ind w:left="0" w:right="149" w:firstLine="0"/>
        <w:jc w:val="right"/>
        <w:rPr>
          <w:sz w:val="16"/>
        </w:rPr>
      </w:pPr>
      <w:r>
        <w:rPr>
          <w:sz w:val="16"/>
        </w:rPr>
        <w:t>(грн)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1020" w:bottom="280" w:left="900" w:right="620"/>
          <w:cols w:num="3" w:equalWidth="0">
            <w:col w:w="1119" w:space="2911"/>
            <w:col w:w="2571" w:space="304"/>
            <w:col w:w="3815"/>
          </w:cols>
        </w:sectPr>
      </w:pPr>
    </w:p>
    <w:tbl>
      <w:tblPr>
        <w:tblW w:w="0" w:type="auto"/>
        <w:jc w:val="left"/>
        <w:tblInd w:w="12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4902"/>
        <w:gridCol w:w="1156"/>
        <w:gridCol w:w="1123"/>
        <w:gridCol w:w="1200"/>
        <w:gridCol w:w="1248"/>
      </w:tblGrid>
      <w:tr>
        <w:trPr>
          <w:trHeight w:val="177" w:hRule="atLeast"/>
        </w:trPr>
        <w:tc>
          <w:tcPr>
            <w:tcW w:w="845" w:type="dxa"/>
            <w:vMerge w:val="restart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154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Код</w:t>
            </w:r>
          </w:p>
        </w:tc>
        <w:tc>
          <w:tcPr>
            <w:tcW w:w="4902" w:type="dxa"/>
            <w:vMerge w:val="restart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55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Найменування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згідно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з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Класифікацією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фінансування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бюджету</w:t>
            </w:r>
          </w:p>
        </w:tc>
        <w:tc>
          <w:tcPr>
            <w:tcW w:w="1156" w:type="dxa"/>
            <w:vMerge w:val="restart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</w:t>
            </w: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line="261" w:lineRule="auto" w:before="56"/>
              <w:ind w:left="396" w:right="177" w:hanging="18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Загальний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фонд</w:t>
            </w:r>
          </w:p>
        </w:tc>
        <w:tc>
          <w:tcPr>
            <w:tcW w:w="2448" w:type="dxa"/>
            <w:gridSpan w:val="2"/>
          </w:tcPr>
          <w:p>
            <w:pPr>
              <w:pStyle w:val="TableParagraph"/>
              <w:spacing w:line="157" w:lineRule="exact"/>
              <w:ind w:left="603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Спеціальний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фонд</w:t>
            </w:r>
          </w:p>
        </w:tc>
      </w:tr>
      <w:tr>
        <w:trPr>
          <w:trHeight w:val="292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66"/>
              <w:ind w:left="39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 w:before="7"/>
              <w:ind w:left="27" w:right="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у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тому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числі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бюджет</w:t>
            </w:r>
          </w:p>
          <w:p>
            <w:pPr>
              <w:pStyle w:val="TableParagraph"/>
              <w:spacing w:line="106" w:lineRule="exact" w:before="21"/>
              <w:ind w:left="27" w:right="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розвитку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4902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4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0474" w:type="dxa"/>
            <w:gridSpan w:val="6"/>
          </w:tcPr>
          <w:p>
            <w:pPr>
              <w:pStyle w:val="TableParagraph"/>
              <w:spacing w:line="240" w:lineRule="auto" w:before="61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Фінансування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кредитора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Внутрішнє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фінансування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69.464.515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162"/>
              <w:jc w:val="right"/>
              <w:rPr>
                <w:sz w:val="16"/>
              </w:rPr>
            </w:pPr>
            <w:r>
              <w:rPr>
                <w:sz w:val="16"/>
              </w:rPr>
              <w:t>-93.462.492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186"/>
              <w:jc w:val="right"/>
              <w:rPr>
                <w:sz w:val="16"/>
              </w:rPr>
            </w:pPr>
            <w:r>
              <w:rPr>
                <w:sz w:val="16"/>
              </w:rPr>
              <w:t>162.927.007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162.807.007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202000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позик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банківських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установ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15"/>
              <w:jc w:val="right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</w:tr>
      <w:tr>
        <w:trPr>
          <w:trHeight w:val="187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202200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інших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банків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15"/>
              <w:jc w:val="right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202210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Одержано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29"/>
              <w:jc w:val="right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202220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Погашено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00"/>
              <w:jc w:val="right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208000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зміни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залишків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коштів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бюджетів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41.204.600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177"/>
              <w:jc w:val="right"/>
              <w:rPr>
                <w:sz w:val="16"/>
              </w:rPr>
            </w:pPr>
            <w:r>
              <w:rPr>
                <w:sz w:val="16"/>
              </w:rPr>
              <w:t>36.255.600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4.949.000</w:t>
            </w:r>
          </w:p>
        </w:tc>
        <w:tc>
          <w:tcPr>
            <w:tcW w:w="1248" w:type="dxa"/>
          </w:tcPr>
          <w:p>
            <w:pPr>
              <w:pStyle w:val="TableParagraph"/>
              <w:ind w:left="24" w:right="3"/>
              <w:rPr>
                <w:sz w:val="16"/>
              </w:rPr>
            </w:pPr>
            <w:r>
              <w:rPr>
                <w:sz w:val="16"/>
              </w:rPr>
              <w:t>4.829.000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208100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45.924.826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191"/>
              <w:jc w:val="right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68"/>
              <w:jc w:val="right"/>
              <w:rPr>
                <w:sz w:val="16"/>
              </w:rPr>
            </w:pPr>
            <w:r>
              <w:rPr>
                <w:sz w:val="16"/>
              </w:rPr>
              <w:t>5.478.083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4.829.070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208200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z w:val="16"/>
              </w:rPr>
              <w:t>4.720.226</w:t>
            </w:r>
          </w:p>
        </w:tc>
        <w:tc>
          <w:tcPr>
            <w:tcW w:w="1123" w:type="dxa"/>
          </w:tcPr>
          <w:p>
            <w:pPr>
              <w:pStyle w:val="TableParagraph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4.191.143</w:t>
            </w:r>
          </w:p>
        </w:tc>
        <w:tc>
          <w:tcPr>
            <w:tcW w:w="1200" w:type="dxa"/>
          </w:tcPr>
          <w:p>
            <w:pPr>
              <w:pStyle w:val="TableParagraph"/>
              <w:ind w:left="324"/>
              <w:jc w:val="left"/>
              <w:rPr>
                <w:sz w:val="16"/>
              </w:rPr>
            </w:pPr>
            <w:r>
              <w:rPr>
                <w:sz w:val="16"/>
              </w:rPr>
              <w:t>529.083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383" w:hRule="atLeast"/>
        </w:trPr>
        <w:tc>
          <w:tcPr>
            <w:tcW w:w="845" w:type="dxa"/>
          </w:tcPr>
          <w:p>
            <w:pPr>
              <w:pStyle w:val="TableParagraph"/>
              <w:spacing w:line="240" w:lineRule="auto" w:before="100"/>
              <w:ind w:right="143"/>
              <w:rPr>
                <w:sz w:val="16"/>
              </w:rPr>
            </w:pPr>
            <w:r>
              <w:rPr>
                <w:sz w:val="16"/>
              </w:rPr>
              <w:t>208400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8" w:lineRule="exact" w:before="17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розвитку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(спеціального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фонду)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100"/>
              <w:ind w:left="13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100"/>
              <w:ind w:left="0" w:right="124"/>
              <w:jc w:val="right"/>
              <w:rPr>
                <w:sz w:val="16"/>
              </w:rPr>
            </w:pPr>
            <w:r>
              <w:rPr>
                <w:sz w:val="16"/>
              </w:rPr>
              <w:t>-129.718.092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100"/>
              <w:ind w:left="0" w:right="186"/>
              <w:jc w:val="right"/>
              <w:rPr>
                <w:sz w:val="16"/>
              </w:rPr>
            </w:pPr>
            <w:r>
              <w:rPr>
                <w:sz w:val="16"/>
              </w:rPr>
              <w:t>129.718.092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 w:before="100"/>
              <w:ind w:left="27" w:right="32"/>
              <w:rPr>
                <w:sz w:val="16"/>
              </w:rPr>
            </w:pPr>
            <w:r>
              <w:rPr>
                <w:sz w:val="16"/>
              </w:rPr>
              <w:t>129.718.092</w:t>
            </w:r>
          </w:p>
        </w:tc>
      </w:tr>
      <w:tr>
        <w:trPr>
          <w:trHeight w:val="187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Зовнішнє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29"/>
              <w:jc w:val="right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Позики,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надані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міжнародними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фінансовими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організаціями</w:t>
            </w:r>
          </w:p>
        </w:tc>
        <w:tc>
          <w:tcPr>
            <w:tcW w:w="1156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15"/>
              <w:jc w:val="right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Одержано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29"/>
              <w:jc w:val="right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Погашено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54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Загальне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83.414.515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1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-93.462.492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1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176.877.007</w:t>
            </w:r>
          </w:p>
        </w:tc>
        <w:tc>
          <w:tcPr>
            <w:tcW w:w="1248" w:type="dxa"/>
          </w:tcPr>
          <w:p>
            <w:pPr>
              <w:pStyle w:val="TableParagraph"/>
              <w:ind w:left="24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176.757.007</w:t>
            </w:r>
          </w:p>
        </w:tc>
      </w:tr>
      <w:tr>
        <w:trPr>
          <w:trHeight w:val="302" w:hRule="atLeast"/>
        </w:trPr>
        <w:tc>
          <w:tcPr>
            <w:tcW w:w="10474" w:type="dxa"/>
            <w:gridSpan w:val="6"/>
          </w:tcPr>
          <w:p>
            <w:pPr>
              <w:pStyle w:val="TableParagraph"/>
              <w:spacing w:line="240" w:lineRule="auto" w:before="52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Фінансування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боргового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зобов"язання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борговими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42.209.915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29"/>
              <w:jc w:val="right"/>
              <w:rPr>
                <w:sz w:val="16"/>
              </w:rPr>
            </w:pPr>
            <w:r>
              <w:rPr>
                <w:sz w:val="16"/>
              </w:rPr>
              <w:t>42.209.915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42.209.915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401100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29"/>
              <w:jc w:val="right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</w:tr>
      <w:tr>
        <w:trPr>
          <w:trHeight w:val="187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401102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15"/>
              <w:jc w:val="right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401200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29"/>
              <w:jc w:val="right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401202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29"/>
              <w:jc w:val="right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402000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z w:val="16"/>
              </w:rPr>
              <w:t>-24.511.195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00"/>
              <w:jc w:val="right"/>
              <w:rPr>
                <w:sz w:val="16"/>
              </w:rPr>
            </w:pPr>
            <w:r>
              <w:rPr>
                <w:sz w:val="16"/>
              </w:rPr>
              <w:t>-24.511.195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-24.511.195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402100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00"/>
              <w:jc w:val="right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402102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00"/>
              <w:jc w:val="right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402200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54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402202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54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600000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активними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41.204.600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162"/>
              <w:jc w:val="right"/>
              <w:rPr>
                <w:sz w:val="16"/>
              </w:rPr>
            </w:pPr>
            <w:r>
              <w:rPr>
                <w:sz w:val="16"/>
              </w:rPr>
              <w:t>-93.462.492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186"/>
              <w:jc w:val="right"/>
              <w:rPr>
                <w:sz w:val="16"/>
              </w:rPr>
            </w:pPr>
            <w:r>
              <w:rPr>
                <w:sz w:val="16"/>
              </w:rPr>
              <w:t>134.667.092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134.547.092</w:t>
            </w:r>
          </w:p>
        </w:tc>
      </w:tr>
      <w:tr>
        <w:trPr>
          <w:trHeight w:val="187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602000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Зміни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обсягів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готівкових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коштів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41.204.600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162"/>
              <w:jc w:val="right"/>
              <w:rPr>
                <w:sz w:val="16"/>
              </w:rPr>
            </w:pPr>
            <w:r>
              <w:rPr>
                <w:sz w:val="16"/>
              </w:rPr>
              <w:t>-93.462.492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186"/>
              <w:jc w:val="right"/>
              <w:rPr>
                <w:sz w:val="16"/>
              </w:rPr>
            </w:pPr>
            <w:r>
              <w:rPr>
                <w:sz w:val="16"/>
              </w:rPr>
              <w:t>134.667.092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134.547.092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602100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45.924.826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191"/>
              <w:jc w:val="right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68"/>
              <w:jc w:val="right"/>
              <w:rPr>
                <w:sz w:val="16"/>
              </w:rPr>
            </w:pPr>
            <w:r>
              <w:rPr>
                <w:sz w:val="16"/>
              </w:rPr>
              <w:t>5.478.083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4.829.070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602200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z w:val="16"/>
              </w:rPr>
              <w:t>4.720.226</w:t>
            </w:r>
          </w:p>
        </w:tc>
        <w:tc>
          <w:tcPr>
            <w:tcW w:w="1123" w:type="dxa"/>
          </w:tcPr>
          <w:p>
            <w:pPr>
              <w:pStyle w:val="TableParagraph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4.191.143</w:t>
            </w:r>
          </w:p>
        </w:tc>
        <w:tc>
          <w:tcPr>
            <w:tcW w:w="1200" w:type="dxa"/>
          </w:tcPr>
          <w:p>
            <w:pPr>
              <w:pStyle w:val="TableParagraph"/>
              <w:ind w:left="324"/>
              <w:jc w:val="left"/>
              <w:rPr>
                <w:sz w:val="16"/>
              </w:rPr>
            </w:pPr>
            <w:r>
              <w:rPr>
                <w:sz w:val="16"/>
              </w:rPr>
              <w:t>529.083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383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right="143"/>
              <w:rPr>
                <w:sz w:val="16"/>
              </w:rPr>
            </w:pPr>
            <w:r>
              <w:rPr>
                <w:sz w:val="16"/>
              </w:rPr>
              <w:t>602400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8" w:lineRule="exact" w:before="17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розвитку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(спеціального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фонду)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13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0" w:right="124"/>
              <w:jc w:val="right"/>
              <w:rPr>
                <w:sz w:val="16"/>
              </w:rPr>
            </w:pPr>
            <w:r>
              <w:rPr>
                <w:sz w:val="16"/>
              </w:rPr>
              <w:t>-129.718.092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0" w:right="186"/>
              <w:jc w:val="right"/>
              <w:rPr>
                <w:sz w:val="16"/>
              </w:rPr>
            </w:pPr>
            <w:r>
              <w:rPr>
                <w:sz w:val="16"/>
              </w:rPr>
              <w:t>129.718.092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32"/>
              <w:rPr>
                <w:sz w:val="16"/>
              </w:rPr>
            </w:pPr>
            <w:r>
              <w:rPr>
                <w:sz w:val="16"/>
              </w:rPr>
              <w:t>129.718.092</w:t>
            </w:r>
          </w:p>
        </w:tc>
      </w:tr>
      <w:tr>
        <w:trPr>
          <w:trHeight w:val="278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34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Загальне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83.414.515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left="0" w:right="1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-93.462.492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left="0" w:right="1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176.877.007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left="24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176.757.007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9380" w:val="left" w:leader="none"/>
        </w:tabs>
        <w:spacing w:before="93"/>
        <w:ind w:left="151"/>
      </w:pPr>
      <w:r>
        <w:rPr/>
        <w:t>Начальник</w:t>
      </w:r>
      <w:r>
        <w:rPr>
          <w:spacing w:val="-7"/>
        </w:rPr>
        <w:t> </w:t>
      </w:r>
      <w:r>
        <w:rPr/>
        <w:t>фінансового</w:t>
      </w:r>
      <w:r>
        <w:rPr>
          <w:spacing w:val="-9"/>
        </w:rPr>
        <w:t> </w:t>
      </w:r>
      <w:r>
        <w:rPr/>
        <w:t>управління</w:t>
      </w:r>
      <w:r>
        <w:rPr>
          <w:spacing w:val="-7"/>
        </w:rPr>
        <w:t> </w:t>
      </w:r>
      <w:r>
        <w:rPr/>
        <w:t>Мелітопольської</w:t>
      </w:r>
      <w:r>
        <w:rPr>
          <w:spacing w:val="-5"/>
        </w:rPr>
        <w:t> </w:t>
      </w:r>
      <w:r>
        <w:rPr/>
        <w:t>міської</w:t>
      </w:r>
      <w:r>
        <w:rPr>
          <w:spacing w:val="-5"/>
        </w:rPr>
        <w:t> </w:t>
      </w:r>
      <w:r>
        <w:rPr/>
        <w:t>ради</w:t>
        <w:tab/>
        <w:t>Яна</w:t>
      </w:r>
      <w:r>
        <w:rPr>
          <w:spacing w:val="-4"/>
        </w:rPr>
        <w:t> </w:t>
      </w:r>
      <w:r>
        <w:rPr/>
        <w:t>ЧАБАН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9380" w:val="left" w:leader="none"/>
        </w:tabs>
        <w:spacing w:before="93"/>
        <w:ind w:left="151"/>
      </w:pPr>
      <w:r>
        <w:rPr/>
        <w:t>Секретар</w:t>
      </w:r>
      <w:r>
        <w:rPr>
          <w:spacing w:val="-8"/>
        </w:rPr>
        <w:t> </w:t>
      </w:r>
      <w:r>
        <w:rPr/>
        <w:t>Мелітопольської</w:t>
      </w:r>
      <w:r>
        <w:rPr>
          <w:spacing w:val="-5"/>
        </w:rPr>
        <w:t> </w:t>
      </w:r>
      <w:r>
        <w:rPr/>
        <w:t>міської</w:t>
      </w:r>
      <w:r>
        <w:rPr>
          <w:spacing w:val="-5"/>
        </w:rPr>
        <w:t> </w:t>
      </w:r>
      <w:r>
        <w:rPr/>
        <w:t>ради</w:t>
        <w:tab/>
        <w:t>Роман</w:t>
      </w:r>
      <w:r>
        <w:rPr>
          <w:spacing w:val="-3"/>
        </w:rPr>
        <w:t> </w:t>
      </w:r>
      <w:r>
        <w:rPr/>
        <w:t>РОМАНОВ</w:t>
      </w:r>
    </w:p>
    <w:sectPr>
      <w:type w:val="continuous"/>
      <w:pgSz w:w="12240" w:h="15840"/>
      <w:pgMar w:top="1020" w:bottom="280" w:left="9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6" w:right="29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67" w:lineRule="exact"/>
      <w:ind w:left="172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2021-09-15T02:05:40Z</dcterms:created>
  <dcterms:modified xsi:type="dcterms:W3CDTF">2021-09-15T02:05:40Z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